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773F" w14:textId="77777777" w:rsidR="00CC0524" w:rsidRPr="00C9017D" w:rsidRDefault="00C9017D" w:rsidP="00751C32">
      <w:pPr>
        <w:jc w:val="center"/>
        <w:rPr>
          <w:b/>
        </w:rPr>
      </w:pPr>
      <w:bookmarkStart w:id="0" w:name="_GoBack"/>
      <w:bookmarkEnd w:id="0"/>
      <w:r w:rsidRPr="00C9017D">
        <w:rPr>
          <w:b/>
          <w:noProof/>
        </w:rPr>
        <w:drawing>
          <wp:inline distT="0" distB="0" distL="0" distR="0" wp14:anchorId="4DFB655C" wp14:editId="406C55D6">
            <wp:extent cx="1850746" cy="1389888"/>
            <wp:effectExtent l="19050" t="0" r="0" b="0"/>
            <wp:docPr id="2"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stretch>
                      <a:fillRect/>
                    </a:stretch>
                  </pic:blipFill>
                  <pic:spPr>
                    <a:xfrm>
                      <a:off x="0" y="0"/>
                      <a:ext cx="1850746" cy="1389888"/>
                    </a:xfrm>
                    <a:prstGeom prst="rect">
                      <a:avLst/>
                    </a:prstGeom>
                  </pic:spPr>
                </pic:pic>
              </a:graphicData>
            </a:graphic>
          </wp:inline>
        </w:drawing>
      </w:r>
    </w:p>
    <w:p w14:paraId="10EF6DD4" w14:textId="77777777" w:rsidR="00CC0524" w:rsidRPr="00C9017D" w:rsidRDefault="00CC0524" w:rsidP="00751C32">
      <w:pPr>
        <w:jc w:val="center"/>
        <w:rPr>
          <w:b/>
        </w:rPr>
      </w:pPr>
    </w:p>
    <w:p w14:paraId="4C550B7F" w14:textId="77777777" w:rsidR="00255EB3" w:rsidRDefault="007C0D05" w:rsidP="00D80F24">
      <w:pPr>
        <w:jc w:val="center"/>
        <w:rPr>
          <w:b/>
        </w:rPr>
      </w:pPr>
      <w:r>
        <w:rPr>
          <w:b/>
        </w:rPr>
        <w:t>Personnel Specialist</w:t>
      </w:r>
    </w:p>
    <w:p w14:paraId="75A6EACA" w14:textId="77777777" w:rsidR="00751C32" w:rsidRDefault="007C0D05" w:rsidP="00D80F24">
      <w:pPr>
        <w:jc w:val="center"/>
        <w:rPr>
          <w:rFonts w:cs="Tahoma"/>
          <w:b/>
          <w:color w:val="000000"/>
        </w:rPr>
      </w:pPr>
      <w:r>
        <w:rPr>
          <w:rFonts w:cs="Tahoma"/>
          <w:b/>
          <w:color w:val="000000"/>
        </w:rPr>
        <w:t>Event Management, Dining and Hospitality</w:t>
      </w:r>
    </w:p>
    <w:p w14:paraId="1F8A378E" w14:textId="77777777" w:rsidR="008B7FC8" w:rsidRPr="008B7FC8" w:rsidRDefault="008B7FC8" w:rsidP="00D80F24">
      <w:pPr>
        <w:jc w:val="center"/>
        <w:rPr>
          <w:rFonts w:cstheme="minorHAnsi"/>
          <w:b/>
          <w:bCs/>
        </w:rPr>
      </w:pPr>
      <w:r w:rsidRPr="008B7FC8">
        <w:rPr>
          <w:rFonts w:cstheme="minorHAnsi"/>
          <w:b/>
          <w:bCs/>
          <w:color w:val="000000"/>
        </w:rPr>
        <w:t>$16.95-$22.04 per hour</w:t>
      </w:r>
    </w:p>
    <w:p w14:paraId="1481F2EB" w14:textId="77777777" w:rsidR="00751C32" w:rsidRPr="004B1DEE" w:rsidRDefault="00751C32" w:rsidP="00751C32">
      <w:pPr>
        <w:jc w:val="center"/>
        <w:rPr>
          <w:b/>
        </w:rPr>
      </w:pPr>
    </w:p>
    <w:p w14:paraId="5850DAEA" w14:textId="77777777" w:rsidR="00777EB3" w:rsidRPr="00F42E82" w:rsidRDefault="00751C32" w:rsidP="001724E9">
      <w:pPr>
        <w:rPr>
          <w:b/>
        </w:rPr>
      </w:pPr>
      <w:r w:rsidRPr="004B1DEE">
        <w:rPr>
          <w:b/>
        </w:rPr>
        <w:t>Position Summary:</w:t>
      </w:r>
    </w:p>
    <w:p w14:paraId="30EB3008" w14:textId="77777777" w:rsidR="007C0D05" w:rsidRPr="007C0D05" w:rsidRDefault="007C0D05" w:rsidP="007C0D05">
      <w:pPr>
        <w:rPr>
          <w:rFonts w:eastAsia="Times New Roman" w:cs="Tahoma"/>
        </w:rPr>
      </w:pPr>
      <w:r w:rsidRPr="007C0D05">
        <w:rPr>
          <w:rFonts w:eastAsia="Times New Roman" w:cs="Tahoma"/>
        </w:rPr>
        <w:t xml:space="preserve">The Department of Event Management, Dining, and Hospitality is one of 13 departments within the Division of Student Affairs. It provides the campus community and guests with high-quality, efficient, and innovative event services and dining options in a variety of settings dedicated to accentuating and enhancing the campus experience in a diverse community. </w:t>
      </w:r>
    </w:p>
    <w:p w14:paraId="499E6165" w14:textId="77777777" w:rsidR="007C0D05" w:rsidRPr="007C0D05" w:rsidRDefault="007C0D05" w:rsidP="007C0D05">
      <w:pPr>
        <w:rPr>
          <w:rFonts w:eastAsia="Times New Roman" w:cs="Tahoma"/>
        </w:rPr>
      </w:pPr>
    </w:p>
    <w:p w14:paraId="5C0B4C43" w14:textId="77777777" w:rsidR="007C0D05" w:rsidRPr="007C0D05" w:rsidRDefault="007C0D05" w:rsidP="007C0D05">
      <w:pPr>
        <w:rPr>
          <w:rFonts w:eastAsia="Times New Roman" w:cs="Tahoma"/>
        </w:rPr>
      </w:pPr>
      <w:r w:rsidRPr="007C0D05">
        <w:rPr>
          <w:rFonts w:eastAsia="Times New Roman" w:cs="Tahoma"/>
        </w:rPr>
        <w:t xml:space="preserve">This position assist with the development, execution, and evaluation of the departmental human resource processes and policies including hiring, on boarding, orientation, corrective action, performance appraisal, and timekeeping. </w:t>
      </w:r>
    </w:p>
    <w:p w14:paraId="387987BF" w14:textId="77777777" w:rsidR="007C0D05" w:rsidRPr="007C0D05" w:rsidRDefault="007C0D05" w:rsidP="007C0D05">
      <w:pPr>
        <w:rPr>
          <w:rFonts w:eastAsia="Times New Roman" w:cs="Tahoma"/>
        </w:rPr>
      </w:pPr>
    </w:p>
    <w:p w14:paraId="29598953" w14:textId="77777777" w:rsidR="0006169E" w:rsidRDefault="007C0D05" w:rsidP="007C0D05">
      <w:pPr>
        <w:rPr>
          <w:rFonts w:eastAsia="Times New Roman" w:cs="Tahoma"/>
        </w:rPr>
      </w:pPr>
      <w:r w:rsidRPr="007C0D05">
        <w:rPr>
          <w:rFonts w:eastAsia="Times New Roman" w:cs="Tahoma"/>
        </w:rPr>
        <w:t>Whether it's to find a place to study, gather with friends, enjoy a bite to eat, or plan a large event, the Department of Event Management, Dining, and Hospitality takes great pride in providing welcoming and inclusive spaces, high-quality food services, and experienced and professional staff who care about making every experience individualized and extraordinary. It is our philosophy to recruit, inspire, and retain talented team members and promote wellness and foster their development. It is our goal to promote a more fully diverse and inclusive campus community.</w:t>
      </w:r>
    </w:p>
    <w:p w14:paraId="6AF5EDF2" w14:textId="77777777" w:rsidR="007C0D05" w:rsidRDefault="007C0D05" w:rsidP="007C0D05"/>
    <w:p w14:paraId="77B650FA" w14:textId="77777777" w:rsidR="00766718" w:rsidRPr="00766718" w:rsidRDefault="00766718" w:rsidP="00751C32">
      <w:pPr>
        <w:rPr>
          <w:b/>
        </w:rPr>
      </w:pPr>
      <w:r w:rsidRPr="00766718">
        <w:rPr>
          <w:b/>
        </w:rPr>
        <w:t>Required Qualifications</w:t>
      </w:r>
    </w:p>
    <w:p w14:paraId="284D6E99" w14:textId="77777777" w:rsidR="00F336EA" w:rsidRPr="00F336EA" w:rsidRDefault="00F336EA" w:rsidP="00F336EA">
      <w:pPr>
        <w:rPr>
          <w:rFonts w:eastAsia="Times New Roman" w:cs="Tahoma"/>
        </w:rPr>
      </w:pPr>
      <w:r w:rsidRPr="00F336EA">
        <w:rPr>
          <w:rFonts w:eastAsia="Times New Roman" w:cs="Tahoma"/>
        </w:rPr>
        <w:t xml:space="preserve">1. Bachelor's degree in Human Resource Administration, Business Management, or a field directly related to the position including at least 12 semester hours in </w:t>
      </w:r>
      <w:r>
        <w:rPr>
          <w:rFonts w:eastAsia="Times New Roman" w:cs="Tahoma"/>
        </w:rPr>
        <w:t xml:space="preserve">Human Resource Administration. </w:t>
      </w:r>
    </w:p>
    <w:p w14:paraId="3D98AD16" w14:textId="630C1F27" w:rsidR="00F336EA" w:rsidRDefault="00F336EA" w:rsidP="00F336EA">
      <w:pPr>
        <w:rPr>
          <w:rFonts w:eastAsia="Times New Roman" w:cs="Tahoma"/>
        </w:rPr>
      </w:pPr>
      <w:r w:rsidRPr="00F336EA">
        <w:rPr>
          <w:rFonts w:eastAsia="Times New Roman" w:cs="Tahoma"/>
        </w:rPr>
        <w:t>2. Two (2) years of full time work experience performing professiona</w:t>
      </w:r>
      <w:r>
        <w:rPr>
          <w:rFonts w:eastAsia="Times New Roman" w:cs="Tahoma"/>
        </w:rPr>
        <w:t xml:space="preserve">l-level human resource duties. </w:t>
      </w:r>
    </w:p>
    <w:p w14:paraId="6313FB00" w14:textId="1091150E" w:rsidR="00AB15F6" w:rsidRDefault="00AB15F6" w:rsidP="00F336EA">
      <w:pPr>
        <w:rPr>
          <w:rFonts w:eastAsia="Times New Roman" w:cs="Tahoma"/>
        </w:rPr>
      </w:pPr>
    </w:p>
    <w:p w14:paraId="28E17CB3" w14:textId="2CC6D176" w:rsidR="00AB15F6" w:rsidRPr="00AB15F6" w:rsidRDefault="00AB15F6" w:rsidP="00F336EA">
      <w:pPr>
        <w:rPr>
          <w:rFonts w:eastAsia="Times New Roman" w:cs="Tahoma"/>
          <w:b/>
          <w:bCs/>
        </w:rPr>
      </w:pPr>
      <w:r>
        <w:rPr>
          <w:rFonts w:eastAsia="Times New Roman" w:cs="Tahoma"/>
          <w:b/>
          <w:bCs/>
        </w:rPr>
        <w:t xml:space="preserve">Desired Qualifications </w:t>
      </w:r>
    </w:p>
    <w:p w14:paraId="2535061A" w14:textId="5A864D11" w:rsidR="00F336EA" w:rsidRPr="00F336EA" w:rsidRDefault="00AB15F6" w:rsidP="00F336EA">
      <w:pPr>
        <w:rPr>
          <w:rFonts w:eastAsia="Times New Roman" w:cs="Tahoma"/>
        </w:rPr>
      </w:pPr>
      <w:r>
        <w:rPr>
          <w:rFonts w:eastAsia="Times New Roman" w:cs="Tahoma"/>
        </w:rPr>
        <w:t>1</w:t>
      </w:r>
      <w:r w:rsidR="00F336EA" w:rsidRPr="00F336EA">
        <w:rPr>
          <w:rFonts w:eastAsia="Times New Roman" w:cs="Tahoma"/>
        </w:rPr>
        <w:t>. Must be self</w:t>
      </w:r>
      <w:r w:rsidR="00F336EA">
        <w:rPr>
          <w:rFonts w:eastAsia="Times New Roman" w:cs="Tahoma"/>
        </w:rPr>
        <w:t xml:space="preserve">-directed and have initiative. </w:t>
      </w:r>
    </w:p>
    <w:p w14:paraId="7E37D681" w14:textId="66C1665D" w:rsidR="00F336EA" w:rsidRPr="00F336EA" w:rsidRDefault="00AB15F6" w:rsidP="00F336EA">
      <w:pPr>
        <w:rPr>
          <w:rFonts w:eastAsia="Times New Roman" w:cs="Tahoma"/>
        </w:rPr>
      </w:pPr>
      <w:r>
        <w:rPr>
          <w:rFonts w:eastAsia="Times New Roman" w:cs="Tahoma"/>
        </w:rPr>
        <w:t>2</w:t>
      </w:r>
      <w:r w:rsidR="00F336EA" w:rsidRPr="00F336EA">
        <w:rPr>
          <w:rFonts w:eastAsia="Times New Roman" w:cs="Tahoma"/>
        </w:rPr>
        <w:t>. Must be capable of exercising professional j</w:t>
      </w:r>
      <w:r w:rsidR="00F336EA">
        <w:rPr>
          <w:rFonts w:eastAsia="Times New Roman" w:cs="Tahoma"/>
        </w:rPr>
        <w:t xml:space="preserve">udgment on a consistent basis. </w:t>
      </w:r>
    </w:p>
    <w:p w14:paraId="3F2D0282" w14:textId="0101C297" w:rsidR="00F336EA" w:rsidRPr="00F336EA" w:rsidRDefault="00AB15F6" w:rsidP="00F336EA">
      <w:pPr>
        <w:rPr>
          <w:rFonts w:eastAsia="Times New Roman" w:cs="Tahoma"/>
        </w:rPr>
      </w:pPr>
      <w:r>
        <w:rPr>
          <w:rFonts w:eastAsia="Times New Roman" w:cs="Tahoma"/>
        </w:rPr>
        <w:t>3</w:t>
      </w:r>
      <w:r w:rsidR="00F336EA" w:rsidRPr="00F336EA">
        <w:rPr>
          <w:rFonts w:eastAsia="Times New Roman" w:cs="Tahoma"/>
        </w:rPr>
        <w:t>. Must have the ability to effectively manage multiple</w:t>
      </w:r>
      <w:r w:rsidR="00F336EA">
        <w:rPr>
          <w:rFonts w:eastAsia="Times New Roman" w:cs="Tahoma"/>
        </w:rPr>
        <w:t xml:space="preserve"> priorities on a daily basis. </w:t>
      </w:r>
    </w:p>
    <w:p w14:paraId="3CC60194" w14:textId="097E2A81" w:rsidR="00F336EA" w:rsidRPr="00F336EA" w:rsidRDefault="00AB15F6" w:rsidP="00F336EA">
      <w:pPr>
        <w:rPr>
          <w:rFonts w:eastAsia="Times New Roman" w:cs="Tahoma"/>
        </w:rPr>
      </w:pPr>
      <w:r>
        <w:rPr>
          <w:rFonts w:eastAsia="Times New Roman" w:cs="Tahoma"/>
        </w:rPr>
        <w:t>4</w:t>
      </w:r>
      <w:r w:rsidR="00F336EA" w:rsidRPr="00F336EA">
        <w:rPr>
          <w:rFonts w:eastAsia="Times New Roman" w:cs="Tahoma"/>
        </w:rPr>
        <w:t>. Must have the ability to manage constant interruptions and shift</w:t>
      </w:r>
      <w:r w:rsidR="00F336EA">
        <w:rPr>
          <w:rFonts w:eastAsia="Times New Roman" w:cs="Tahoma"/>
        </w:rPr>
        <w:t xml:space="preserve"> priorities as problems arise. </w:t>
      </w:r>
    </w:p>
    <w:p w14:paraId="13376821" w14:textId="274E0E26" w:rsidR="00F336EA" w:rsidRPr="00F336EA" w:rsidRDefault="00AB15F6" w:rsidP="00F336EA">
      <w:pPr>
        <w:rPr>
          <w:rFonts w:eastAsia="Times New Roman" w:cs="Tahoma"/>
        </w:rPr>
      </w:pPr>
      <w:r>
        <w:rPr>
          <w:rFonts w:eastAsia="Times New Roman" w:cs="Tahoma"/>
        </w:rPr>
        <w:t>5</w:t>
      </w:r>
      <w:r w:rsidR="00F336EA" w:rsidRPr="00F336EA">
        <w:rPr>
          <w:rFonts w:eastAsia="Times New Roman" w:cs="Tahoma"/>
        </w:rPr>
        <w:t xml:space="preserve">. Must have </w:t>
      </w:r>
      <w:r w:rsidR="00F336EA">
        <w:rPr>
          <w:rFonts w:eastAsia="Times New Roman" w:cs="Tahoma"/>
        </w:rPr>
        <w:t xml:space="preserve">the ability to meet deadlines. </w:t>
      </w:r>
    </w:p>
    <w:p w14:paraId="4FA279E7" w14:textId="1CCD4F07" w:rsidR="00F336EA" w:rsidRPr="00F336EA" w:rsidRDefault="00AB15F6" w:rsidP="00F336EA">
      <w:pPr>
        <w:rPr>
          <w:rFonts w:eastAsia="Times New Roman" w:cs="Tahoma"/>
        </w:rPr>
      </w:pPr>
      <w:r>
        <w:rPr>
          <w:rFonts w:eastAsia="Times New Roman" w:cs="Tahoma"/>
        </w:rPr>
        <w:t>6</w:t>
      </w:r>
      <w:r w:rsidR="00F336EA" w:rsidRPr="00F336EA">
        <w:rPr>
          <w:rFonts w:eastAsia="Times New Roman" w:cs="Tahoma"/>
        </w:rPr>
        <w:t>. Must have strong verbal, written, and inter</w:t>
      </w:r>
      <w:r w:rsidR="00F336EA">
        <w:rPr>
          <w:rFonts w:eastAsia="Times New Roman" w:cs="Tahoma"/>
        </w:rPr>
        <w:t xml:space="preserve">personal communication skills. </w:t>
      </w:r>
    </w:p>
    <w:p w14:paraId="272B6A70" w14:textId="1A771F79" w:rsidR="00F336EA" w:rsidRPr="00F336EA" w:rsidRDefault="00AB15F6" w:rsidP="00F336EA">
      <w:pPr>
        <w:rPr>
          <w:rFonts w:eastAsia="Times New Roman" w:cs="Tahoma"/>
        </w:rPr>
      </w:pPr>
      <w:r>
        <w:rPr>
          <w:rFonts w:eastAsia="Times New Roman" w:cs="Tahoma"/>
        </w:rPr>
        <w:t>7</w:t>
      </w:r>
      <w:r w:rsidR="00F336EA" w:rsidRPr="00F336EA">
        <w:rPr>
          <w:rFonts w:eastAsia="Times New Roman" w:cs="Tahoma"/>
        </w:rPr>
        <w:t>. Must have a high level of computer skills, inclu</w:t>
      </w:r>
      <w:r w:rsidR="00F336EA">
        <w:rPr>
          <w:rFonts w:eastAsia="Times New Roman" w:cs="Tahoma"/>
        </w:rPr>
        <w:t xml:space="preserve">ding Microsoft Word and Excel. </w:t>
      </w:r>
    </w:p>
    <w:p w14:paraId="479F0428" w14:textId="194AADF9" w:rsidR="00F336EA" w:rsidRPr="00F336EA" w:rsidRDefault="00AB15F6" w:rsidP="00F336EA">
      <w:pPr>
        <w:rPr>
          <w:rFonts w:eastAsia="Times New Roman" w:cs="Tahoma"/>
        </w:rPr>
      </w:pPr>
      <w:r>
        <w:rPr>
          <w:rFonts w:eastAsia="Times New Roman" w:cs="Tahoma"/>
        </w:rPr>
        <w:t>8</w:t>
      </w:r>
      <w:r w:rsidR="00F336EA" w:rsidRPr="00F336EA">
        <w:rPr>
          <w:rFonts w:eastAsia="Times New Roman" w:cs="Tahoma"/>
        </w:rPr>
        <w:t>. Must be able to work confidentially with a variety of security sensitive informati</w:t>
      </w:r>
      <w:r w:rsidR="00F336EA">
        <w:rPr>
          <w:rFonts w:eastAsia="Times New Roman" w:cs="Tahoma"/>
        </w:rPr>
        <w:t xml:space="preserve">on, including personnel files. </w:t>
      </w:r>
    </w:p>
    <w:p w14:paraId="5CA6351A" w14:textId="77777777" w:rsidR="00F336EA" w:rsidRPr="00766718" w:rsidRDefault="00F336EA" w:rsidP="00F336EA">
      <w:pPr>
        <w:rPr>
          <w:b/>
        </w:rPr>
      </w:pPr>
    </w:p>
    <w:p w14:paraId="6F5012A4" w14:textId="6100D9A2" w:rsidR="00F336EA" w:rsidRDefault="00F336EA" w:rsidP="00492CF9">
      <w:pPr>
        <w:rPr>
          <w:b/>
        </w:rPr>
      </w:pPr>
    </w:p>
    <w:p w14:paraId="78AA142F" w14:textId="2FD54457" w:rsidR="00AB15F6" w:rsidRDefault="00AB15F6" w:rsidP="00492CF9">
      <w:pPr>
        <w:rPr>
          <w:b/>
        </w:rPr>
      </w:pPr>
    </w:p>
    <w:p w14:paraId="23AB7B6C" w14:textId="77777777" w:rsidR="00AB15F6" w:rsidRDefault="00AB15F6" w:rsidP="00492CF9">
      <w:pPr>
        <w:rPr>
          <w:b/>
        </w:rPr>
      </w:pPr>
    </w:p>
    <w:p w14:paraId="6DE80281" w14:textId="77777777" w:rsidR="00751C32" w:rsidRDefault="00751C32" w:rsidP="00492CF9">
      <w:pPr>
        <w:rPr>
          <w:b/>
        </w:rPr>
      </w:pPr>
      <w:r>
        <w:rPr>
          <w:b/>
        </w:rPr>
        <w:lastRenderedPageBreak/>
        <w:t>Application Process:</w:t>
      </w:r>
    </w:p>
    <w:p w14:paraId="78B50279" w14:textId="176A4600" w:rsidR="00766718" w:rsidRDefault="00751C32" w:rsidP="00751C32">
      <w:r>
        <w:t xml:space="preserve">Initial review of applications will begin </w:t>
      </w:r>
      <w:r w:rsidR="00AB15F6">
        <w:t>June 7, 2021</w:t>
      </w:r>
      <w:r w:rsidR="0006169E">
        <w:t xml:space="preserve"> </w:t>
      </w:r>
      <w:r>
        <w:t xml:space="preserve">and continue until the position is filled.  Applications must be submitted no later than </w:t>
      </w:r>
      <w:r w:rsidR="00AB15F6">
        <w:t>June 15,</w:t>
      </w:r>
      <w:r w:rsidR="00F336EA">
        <w:t xml:space="preserve"> 202</w:t>
      </w:r>
      <w:r w:rsidR="00AB15F6">
        <w:t>1</w:t>
      </w:r>
      <w:r>
        <w:t>.  To assure full consideration, an application along with a resume/curriculum vita, reference list (specifically, the names, addresses, telephone numbers</w:t>
      </w:r>
      <w:r w:rsidR="002B4FCA">
        <w:t>,</w:t>
      </w:r>
      <w:r>
        <w:t xml:space="preserve"> and e-mail addresses of at least three professional references),</w:t>
      </w:r>
      <w:r w:rsidR="00492CF9">
        <w:t xml:space="preserve"> transcripts</w:t>
      </w:r>
      <w:r>
        <w:t xml:space="preserve"> and cover letter must be submitted online at </w:t>
      </w:r>
      <w:hyperlink r:id="rId6" w:history="1">
        <w:r>
          <w:rPr>
            <w:rStyle w:val="Hyperlink"/>
          </w:rPr>
          <w:t>www.IllinoisState.edu/jobs</w:t>
        </w:r>
      </w:hyperlink>
      <w:r>
        <w:t xml:space="preserve">.  </w:t>
      </w:r>
    </w:p>
    <w:p w14:paraId="532CE6A6" w14:textId="77777777" w:rsidR="00751C32" w:rsidRDefault="00751C32" w:rsidP="00751C32"/>
    <w:p w14:paraId="7C995088" w14:textId="77777777" w:rsidR="00751C32" w:rsidRDefault="00A51783" w:rsidP="00751C32">
      <w:r>
        <w:rPr>
          <w:b/>
        </w:rPr>
        <w:t>Illinois State University:</w:t>
      </w:r>
    </w:p>
    <w:p w14:paraId="20B376A2" w14:textId="77777777" w:rsidR="00A51783" w:rsidRDefault="00A51783" w:rsidP="00A51783">
      <w:pPr>
        <w:rPr>
          <w:rFonts w:cs="Tahoma"/>
        </w:rPr>
      </w:pPr>
      <w:r w:rsidRPr="00A51783">
        <w:rPr>
          <w:rFonts w:cs="Tahoma"/>
        </w:rPr>
        <w:t>Illinois State University, founded in 1857, is the oldest public university in Illinois.  Illinois State is a coeducational, residential university that emphasizes undergraduate study with almost 21,000 students.  Its 34 academic departments in 6 colleges offer 63 undergraduate programs in more than 160 fields of study.  The Graduate School coordinates 38 masters, 2 specialist and 7 doctorial programs.  Illinois State University (</w:t>
      </w:r>
      <w:hyperlink r:id="rId7" w:history="1">
        <w:r w:rsidRPr="00A51783">
          <w:rPr>
            <w:rStyle w:val="Hyperlink"/>
            <w:rFonts w:cs="Tahoma"/>
          </w:rPr>
          <w:t>www.IllinoisState.edu</w:t>
        </w:r>
      </w:hyperlink>
      <w:r w:rsidRPr="00A51783">
        <w:rPr>
          <w:rFonts w:cs="Tahoma"/>
        </w:rPr>
        <w:t xml:space="preserve">) is committed to fostering a small-college atmosphere with large-university opportunities and promoting the highest academic standards in teaching, scholarship, and community service.  </w:t>
      </w:r>
    </w:p>
    <w:p w14:paraId="1FDAD6D5" w14:textId="77777777" w:rsidR="001724E9" w:rsidRDefault="001724E9" w:rsidP="00A51783">
      <w:pPr>
        <w:rPr>
          <w:rFonts w:cs="Tahoma"/>
        </w:rPr>
      </w:pPr>
    </w:p>
    <w:p w14:paraId="297062C7" w14:textId="77777777" w:rsidR="004B1DEE" w:rsidRDefault="004B1DEE" w:rsidP="004B1DEE">
      <w:pPr>
        <w:rPr>
          <w:rFonts w:cs="Tahoma"/>
        </w:rPr>
      </w:pPr>
      <w:r>
        <w:rPr>
          <w:rFonts w:cs="Tahoma"/>
          <w:b/>
        </w:rPr>
        <w:t>Bloomington-Normal Community:</w:t>
      </w:r>
    </w:p>
    <w:p w14:paraId="578A2503" w14:textId="77777777" w:rsidR="004B1DEE" w:rsidRPr="00A51783" w:rsidRDefault="004B1DEE" w:rsidP="004B1DEE">
      <w:pPr>
        <w:rPr>
          <w:rStyle w:val="style31"/>
          <w:rFonts w:asciiTheme="minorHAnsi" w:hAnsiTheme="minorHAnsi" w:cs="Tahoma"/>
          <w:sz w:val="22"/>
          <w:szCs w:val="22"/>
        </w:rPr>
      </w:pPr>
      <w:r w:rsidRPr="00A51783">
        <w:rPr>
          <w:rFonts w:cs="Tahoma"/>
        </w:rPr>
        <w:t>Illinois State University is located in the growing twin cities of Bloomington and Normal, with a population of approximately 125,000 and conveniently located approximately two hours from both Chicago and St. Louis. The community is home to GROWMARK, Illinois Farm Bureau, State Farm Insurance International Headquarters</w:t>
      </w:r>
      <w:proofErr w:type="gramStart"/>
      <w:r w:rsidRPr="00A51783">
        <w:rPr>
          <w:rFonts w:cs="Tahoma"/>
        </w:rPr>
        <w:t>,  Illinois</w:t>
      </w:r>
      <w:proofErr w:type="gramEnd"/>
      <w:r w:rsidRPr="00A51783">
        <w:rPr>
          <w:rFonts w:cs="Tahoma"/>
        </w:rPr>
        <w:t xml:space="preserve"> Wesleyan University, Lincoln College, and Heartland Community College. The community has distinguished itself for its outstanding school systems and educational attainment, parks and recreation, health care, job growth, economic opportunity, and low crime. </w:t>
      </w:r>
      <w:hyperlink r:id="rId8" w:tgtFrame="_blank" w:history="1">
        <w:r w:rsidRPr="00A51783">
          <w:rPr>
            <w:rStyle w:val="Hyperlink"/>
            <w:rFonts w:cs="Tahoma"/>
            <w:i/>
            <w:iCs/>
          </w:rPr>
          <w:t>Forbes</w:t>
        </w:r>
      </w:hyperlink>
      <w:r w:rsidRPr="00A51783">
        <w:rPr>
          <w:rFonts w:cs="Tahoma"/>
        </w:rPr>
        <w:t xml:space="preserve"> magazine, in a review of the best places for business, ranked Bloomington-Normal the 15</w:t>
      </w:r>
      <w:r w:rsidRPr="00A51783">
        <w:rPr>
          <w:rFonts w:cs="Tahoma"/>
          <w:vertAlign w:val="superscript"/>
        </w:rPr>
        <w:t>th</w:t>
      </w:r>
      <w:r w:rsidRPr="00A51783">
        <w:rPr>
          <w:rFonts w:cs="Tahoma"/>
        </w:rPr>
        <w:t xml:space="preserve"> best place for business out of 168 small metros listed. </w:t>
      </w:r>
      <w:r w:rsidRPr="00A51783">
        <w:rPr>
          <w:rStyle w:val="style31"/>
          <w:rFonts w:asciiTheme="minorHAnsi" w:hAnsiTheme="minorHAnsi" w:cs="Tahoma"/>
          <w:sz w:val="22"/>
          <w:szCs w:val="22"/>
        </w:rPr>
        <w:t xml:space="preserve">Bloomington was also recently placed on </w:t>
      </w:r>
      <w:hyperlink r:id="rId9" w:tgtFrame="_blank" w:history="1">
        <w:r w:rsidRPr="00A51783">
          <w:rPr>
            <w:rStyle w:val="Hyperlink"/>
            <w:rFonts w:cs="Tahoma"/>
            <w:i/>
          </w:rPr>
          <w:t>CNNMoney</w:t>
        </w:r>
      </w:hyperlink>
      <w:r w:rsidRPr="00A51783">
        <w:rPr>
          <w:rStyle w:val="style31"/>
          <w:rFonts w:asciiTheme="minorHAnsi" w:hAnsiTheme="minorHAnsi" w:cs="Tahoma"/>
          <w:i/>
          <w:sz w:val="22"/>
          <w:szCs w:val="22"/>
        </w:rPr>
        <w:t>'s</w:t>
      </w:r>
      <w:r w:rsidRPr="00A51783">
        <w:rPr>
          <w:rStyle w:val="style31"/>
          <w:rFonts w:asciiTheme="minorHAnsi" w:hAnsiTheme="minorHAnsi" w:cs="Tahoma"/>
          <w:sz w:val="22"/>
          <w:szCs w:val="22"/>
        </w:rPr>
        <w:t xml:space="preserve"> list of the 100 Best Places to Live.  </w:t>
      </w:r>
      <w:hyperlink r:id="rId10" w:history="1">
        <w:r w:rsidRPr="00A51783">
          <w:rPr>
            <w:rStyle w:val="Hyperlink"/>
            <w:rFonts w:cs="Tahoma"/>
            <w:i/>
          </w:rPr>
          <w:t>Expansion Management Magazine</w:t>
        </w:r>
      </w:hyperlink>
      <w:r w:rsidRPr="00A51783">
        <w:rPr>
          <w:rStyle w:val="style31"/>
          <w:rFonts w:asciiTheme="minorHAnsi" w:hAnsiTheme="minorHAnsi" w:cs="Tahoma"/>
          <w:sz w:val="22"/>
          <w:szCs w:val="22"/>
        </w:rPr>
        <w:t xml:space="preserve"> rated Bloomington-Normal as one of two metro areas with a five-star quality of life, giving the community high rankings in such areas as standard of living, quality of schools, traffic and commute.  Please visit the Bloomington-Normal Area Convention &amp; Visitors Bureau website at </w:t>
      </w:r>
      <w:hyperlink r:id="rId11" w:history="1">
        <w:r w:rsidRPr="00A51783">
          <w:rPr>
            <w:rStyle w:val="Hyperlink"/>
            <w:rFonts w:cs="Tahoma"/>
          </w:rPr>
          <w:t>www.bloomingtonnormalcvb.org</w:t>
        </w:r>
      </w:hyperlink>
      <w:r w:rsidRPr="00A51783">
        <w:rPr>
          <w:rStyle w:val="style31"/>
          <w:rFonts w:asciiTheme="minorHAnsi" w:hAnsiTheme="minorHAnsi" w:cs="Tahoma"/>
          <w:sz w:val="22"/>
          <w:szCs w:val="22"/>
        </w:rPr>
        <w:t xml:space="preserve"> for more information.</w:t>
      </w:r>
    </w:p>
    <w:p w14:paraId="69BAD12F" w14:textId="77777777" w:rsidR="004B1DEE" w:rsidRDefault="004B1DEE" w:rsidP="00A51783">
      <w:pPr>
        <w:rPr>
          <w:rFonts w:cs="Tahoma"/>
        </w:rPr>
      </w:pPr>
    </w:p>
    <w:p w14:paraId="3EF7E3E5" w14:textId="77777777" w:rsidR="00A51783" w:rsidRDefault="00A51783" w:rsidP="00751C32"/>
    <w:p w14:paraId="46EEB0A4" w14:textId="77777777" w:rsidR="00B00CE5" w:rsidRPr="004B2923" w:rsidRDefault="00E755F5" w:rsidP="00E755F5">
      <w:pPr>
        <w:jc w:val="center"/>
        <w:rPr>
          <w:b/>
        </w:rPr>
      </w:pPr>
      <w:r w:rsidRPr="00E755F5">
        <w:rPr>
          <w:b/>
        </w:rPr>
        <w:t>Illinois State University is an Equal Opportunity/Affirmative Action Employer.</w:t>
      </w:r>
    </w:p>
    <w:sectPr w:rsidR="00B00CE5" w:rsidRPr="004B2923" w:rsidSect="004B29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561F"/>
    <w:multiLevelType w:val="hybridMultilevel"/>
    <w:tmpl w:val="78C24F24"/>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56E33"/>
    <w:multiLevelType w:val="hybridMultilevel"/>
    <w:tmpl w:val="4BA4300C"/>
    <w:lvl w:ilvl="0" w:tplc="B2A882BE">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925BB3"/>
    <w:multiLevelType w:val="hybridMultilevel"/>
    <w:tmpl w:val="53EC0978"/>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3D6E"/>
    <w:multiLevelType w:val="hybridMultilevel"/>
    <w:tmpl w:val="DB9ED69C"/>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730B9"/>
    <w:multiLevelType w:val="hybridMultilevel"/>
    <w:tmpl w:val="BA8A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32"/>
    <w:rsid w:val="0001599D"/>
    <w:rsid w:val="0006169E"/>
    <w:rsid w:val="001403ED"/>
    <w:rsid w:val="001463A2"/>
    <w:rsid w:val="001724E9"/>
    <w:rsid w:val="001A4934"/>
    <w:rsid w:val="00212B5E"/>
    <w:rsid w:val="00255EB3"/>
    <w:rsid w:val="002B1B54"/>
    <w:rsid w:val="002B4F21"/>
    <w:rsid w:val="002B4FCA"/>
    <w:rsid w:val="00492CF9"/>
    <w:rsid w:val="004B1DEE"/>
    <w:rsid w:val="004B2923"/>
    <w:rsid w:val="004F5B8E"/>
    <w:rsid w:val="0059501C"/>
    <w:rsid w:val="00605C04"/>
    <w:rsid w:val="00705D94"/>
    <w:rsid w:val="00751C32"/>
    <w:rsid w:val="00766718"/>
    <w:rsid w:val="00777EB3"/>
    <w:rsid w:val="007C0D05"/>
    <w:rsid w:val="008938B8"/>
    <w:rsid w:val="008A7DBB"/>
    <w:rsid w:val="008B7FC8"/>
    <w:rsid w:val="008C7624"/>
    <w:rsid w:val="009D26B2"/>
    <w:rsid w:val="00A4154E"/>
    <w:rsid w:val="00A51783"/>
    <w:rsid w:val="00A753D3"/>
    <w:rsid w:val="00A94189"/>
    <w:rsid w:val="00AB15F6"/>
    <w:rsid w:val="00AC60B9"/>
    <w:rsid w:val="00AD0815"/>
    <w:rsid w:val="00B00CE5"/>
    <w:rsid w:val="00B561CA"/>
    <w:rsid w:val="00BA2E03"/>
    <w:rsid w:val="00BA3245"/>
    <w:rsid w:val="00C8093F"/>
    <w:rsid w:val="00C9017D"/>
    <w:rsid w:val="00CA471D"/>
    <w:rsid w:val="00CC0524"/>
    <w:rsid w:val="00D417D3"/>
    <w:rsid w:val="00D80151"/>
    <w:rsid w:val="00D80F24"/>
    <w:rsid w:val="00DE04D0"/>
    <w:rsid w:val="00E755F5"/>
    <w:rsid w:val="00F336EA"/>
    <w:rsid w:val="00F350AE"/>
    <w:rsid w:val="00F42E82"/>
    <w:rsid w:val="00F4405D"/>
    <w:rsid w:val="00FB557C"/>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DC30"/>
  <w15:docId w15:val="{E4050FB7-2097-4D15-96C0-3A3AC789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C32"/>
    <w:rPr>
      <w:color w:val="0000FF" w:themeColor="hyperlink"/>
      <w:u w:val="single"/>
    </w:rPr>
  </w:style>
  <w:style w:type="paragraph" w:styleId="ListParagraph">
    <w:name w:val="List Paragraph"/>
    <w:basedOn w:val="Normal"/>
    <w:uiPriority w:val="34"/>
    <w:qFormat/>
    <w:rsid w:val="00751C32"/>
    <w:pPr>
      <w:ind w:left="720"/>
      <w:contextualSpacing/>
    </w:pPr>
  </w:style>
  <w:style w:type="paragraph" w:styleId="BalloonText">
    <w:name w:val="Balloon Text"/>
    <w:basedOn w:val="Normal"/>
    <w:link w:val="BalloonTextChar"/>
    <w:uiPriority w:val="99"/>
    <w:semiHidden/>
    <w:unhideWhenUsed/>
    <w:rsid w:val="00CC0524"/>
    <w:rPr>
      <w:rFonts w:ascii="Tahoma" w:hAnsi="Tahoma" w:cs="Tahoma"/>
      <w:sz w:val="16"/>
      <w:szCs w:val="16"/>
    </w:rPr>
  </w:style>
  <w:style w:type="character" w:customStyle="1" w:styleId="BalloonTextChar">
    <w:name w:val="Balloon Text Char"/>
    <w:basedOn w:val="DefaultParagraphFont"/>
    <w:link w:val="BalloonText"/>
    <w:uiPriority w:val="99"/>
    <w:semiHidden/>
    <w:rsid w:val="00CC0524"/>
    <w:rPr>
      <w:rFonts w:ascii="Tahoma" w:hAnsi="Tahoma" w:cs="Tahoma"/>
      <w:sz w:val="16"/>
      <w:szCs w:val="16"/>
    </w:rPr>
  </w:style>
  <w:style w:type="character" w:customStyle="1" w:styleId="style31">
    <w:name w:val="style31"/>
    <w:basedOn w:val="DefaultParagraphFont"/>
    <w:rsid w:val="00A51783"/>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1106">
      <w:bodyDiv w:val="1"/>
      <w:marLeft w:val="0"/>
      <w:marRight w:val="0"/>
      <w:marTop w:val="0"/>
      <w:marBottom w:val="0"/>
      <w:divBdr>
        <w:top w:val="none" w:sz="0" w:space="0" w:color="auto"/>
        <w:left w:val="none" w:sz="0" w:space="0" w:color="auto"/>
        <w:bottom w:val="none" w:sz="0" w:space="0" w:color="auto"/>
        <w:right w:val="none" w:sz="0" w:space="0" w:color="auto"/>
      </w:divBdr>
    </w:div>
    <w:div w:id="104692653">
      <w:bodyDiv w:val="1"/>
      <w:marLeft w:val="0"/>
      <w:marRight w:val="0"/>
      <w:marTop w:val="0"/>
      <w:marBottom w:val="0"/>
      <w:divBdr>
        <w:top w:val="none" w:sz="0" w:space="0" w:color="auto"/>
        <w:left w:val="none" w:sz="0" w:space="0" w:color="auto"/>
        <w:bottom w:val="none" w:sz="0" w:space="0" w:color="auto"/>
        <w:right w:val="none" w:sz="0" w:space="0" w:color="auto"/>
      </w:divBdr>
    </w:div>
    <w:div w:id="533232122">
      <w:bodyDiv w:val="1"/>
      <w:marLeft w:val="0"/>
      <w:marRight w:val="0"/>
      <w:marTop w:val="0"/>
      <w:marBottom w:val="0"/>
      <w:divBdr>
        <w:top w:val="none" w:sz="0" w:space="0" w:color="auto"/>
        <w:left w:val="none" w:sz="0" w:space="0" w:color="auto"/>
        <w:bottom w:val="none" w:sz="0" w:space="0" w:color="auto"/>
        <w:right w:val="none" w:sz="0" w:space="0" w:color="auto"/>
      </w:divBdr>
    </w:div>
    <w:div w:id="679045191">
      <w:bodyDiv w:val="1"/>
      <w:marLeft w:val="0"/>
      <w:marRight w:val="0"/>
      <w:marTop w:val="0"/>
      <w:marBottom w:val="0"/>
      <w:divBdr>
        <w:top w:val="none" w:sz="0" w:space="0" w:color="auto"/>
        <w:left w:val="none" w:sz="0" w:space="0" w:color="auto"/>
        <w:bottom w:val="none" w:sz="0" w:space="0" w:color="auto"/>
        <w:right w:val="none" w:sz="0" w:space="0" w:color="auto"/>
      </w:divBdr>
    </w:div>
    <w:div w:id="1914468254">
      <w:bodyDiv w:val="1"/>
      <w:marLeft w:val="0"/>
      <w:marRight w:val="0"/>
      <w:marTop w:val="0"/>
      <w:marBottom w:val="0"/>
      <w:divBdr>
        <w:top w:val="none" w:sz="0" w:space="0" w:color="auto"/>
        <w:left w:val="none" w:sz="0" w:space="0" w:color="auto"/>
        <w:bottom w:val="none" w:sz="0" w:space="0" w:color="auto"/>
        <w:right w:val="none" w:sz="0" w:space="0" w:color="auto"/>
      </w:divBdr>
    </w:div>
    <w:div w:id="2013217326">
      <w:bodyDiv w:val="1"/>
      <w:marLeft w:val="0"/>
      <w:marRight w:val="0"/>
      <w:marTop w:val="0"/>
      <w:marBottom w:val="0"/>
      <w:divBdr>
        <w:top w:val="none" w:sz="0" w:space="0" w:color="auto"/>
        <w:left w:val="none" w:sz="0" w:space="0" w:color="auto"/>
        <w:bottom w:val="none" w:sz="0" w:space="0" w:color="auto"/>
        <w:right w:val="none" w:sz="0" w:space="0" w:color="auto"/>
      </w:divBdr>
    </w:div>
    <w:div w:id="20764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linois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State.edu/jobs" TargetMode="External"/><Relationship Id="rId11" Type="http://schemas.openxmlformats.org/officeDocument/2006/relationships/hyperlink" Target="http://www.bloomingtonnormalcvb.org" TargetMode="External"/><Relationship Id="rId5" Type="http://schemas.openxmlformats.org/officeDocument/2006/relationships/image" Target="media/image1.jpeg"/><Relationship Id="rId10" Type="http://schemas.openxmlformats.org/officeDocument/2006/relationships/hyperlink" Target="http://www.expansionmanagement.com/" TargetMode="External"/><Relationship Id="rId4" Type="http://schemas.openxmlformats.org/officeDocument/2006/relationships/webSettings" Target="webSettings.xml"/><Relationship Id="rId9" Type="http://schemas.openxmlformats.org/officeDocument/2006/relationships/hyperlink" Target="http://money.cnn.com/magazines/moneymag/bplive/2006/snapshots/PL1706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Perry,</dc:creator>
  <cp:keywords/>
  <dc:description/>
  <cp:lastModifiedBy>Trunnell, Michelle</cp:lastModifiedBy>
  <cp:revision>2</cp:revision>
  <dcterms:created xsi:type="dcterms:W3CDTF">2021-06-08T13:31:00Z</dcterms:created>
  <dcterms:modified xsi:type="dcterms:W3CDTF">2021-06-08T13:31:00Z</dcterms:modified>
</cp:coreProperties>
</file>